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40" w:name="X78edb8e8da85ee6ca96deac03d003c2a7bfb1a8"/>
    <w:p>
      <w:pPr>
        <w:pStyle w:val="Heading1"/>
      </w:pPr>
      <w:r>
        <w:t xml:space="preserve">Governing AI and Sustainability at Equinor: Balancing Efficiency, Ethics, and the Twin Transition</w:t>
      </w:r>
    </w:p>
    <w:p>
      <w:pPr>
        <w:pStyle w:val="FirstParagraph"/>
      </w:pPr>
      <w:r>
        <w:rPr>
          <w:b/>
          <w:bCs/>
        </w:rPr>
        <w:t xml:space="preserve">Assignment</w:t>
      </w:r>
      <w:r>
        <w:t xml:space="preserve">: Policy or ethics report on governing the twin transition on an applied firm or organization case</w:t>
      </w:r>
    </w:p>
    <w:p>
      <w:pPr>
        <w:pStyle w:val="BodyText"/>
      </w:pPr>
      <w:r>
        <w:rPr>
          <w:b/>
          <w:bCs/>
        </w:rPr>
        <w:t xml:space="preserve">Option 2</w:t>
      </w:r>
      <w:r>
        <w:t xml:space="preserve">: Governing AI and Sustainability in a Norwegian Energy Company</w:t>
      </w:r>
    </w:p>
    <w:p>
      <w:pPr>
        <w:pStyle w:val="BodyText"/>
      </w:pPr>
      <w:r>
        <w:rPr>
          <w:b/>
          <w:bCs/>
        </w:rPr>
        <w:t xml:space="preserve">Focus</w:t>
      </w:r>
      <w:r>
        <w:t xml:space="preserve">: Ethical AI use, workforce reskilling, and responsibility in energy optimisation systems</w:t>
      </w:r>
    </w:p>
    <w:p>
      <w:pPr>
        <w:pStyle w:val="BodyText"/>
      </w:pPr>
      <w:r>
        <w:rPr>
          <w:b/>
          <w:bCs/>
        </w:rPr>
        <w:t xml:space="preserve">Course</w:t>
      </w:r>
      <w:r>
        <w:t xml:space="preserve">: INN503 - Digital Transformation, Innovation and Sustainability</w:t>
      </w:r>
    </w:p>
    <w:p>
      <w:pPr>
        <w:pStyle w:val="BodyText"/>
      </w:pPr>
      <w:r>
        <w:rPr>
          <w:b/>
          <w:bCs/>
        </w:rPr>
        <w:t xml:space="preserve">Institution</w:t>
      </w:r>
      <w:r>
        <w:t xml:space="preserve">: Western Norway University of Applied Sciences (HVL)</w:t>
      </w:r>
    </w:p>
    <w:p>
      <w:pPr>
        <w:pStyle w:val="BodyText"/>
      </w:pPr>
      <w:r>
        <w:rPr>
          <w:b/>
          <w:bCs/>
        </w:rPr>
        <w:t xml:space="preserve">Semester</w:t>
      </w:r>
      <w:r>
        <w:t xml:space="preserve">: Spring 2026</w:t>
      </w:r>
    </w:p>
    <w:p>
      <w:pPr>
        <w:pStyle w:val="BodyText"/>
      </w:pPr>
      <w:r>
        <w:rPr>
          <w:b/>
          <w:bCs/>
        </w:rPr>
        <w:t xml:space="preserve">Word Count</w:t>
      </w:r>
      <w:r>
        <w:t xml:space="preserve">: ~4,000 words</w:t>
      </w:r>
    </w:p>
    <w:p>
      <w:pPr>
        <w:pStyle w:val="BodyText"/>
      </w:pPr>
      <w:r>
        <w:rPr>
          <w:b/>
          <w:bCs/>
        </w:rPr>
        <w:t xml:space="preserve">Date</w:t>
      </w:r>
      <w:r>
        <w:t xml:space="preserve">: January 2026</w:t>
      </w:r>
    </w:p>
    <w:p>
      <w:pPr>
        <w:pStyle w:val="BodyText"/>
      </w:pPr>
      <w:r>
        <w:rPr>
          <w:b/>
          <w:bCs/>
        </w:rPr>
        <w:t xml:space="preserve">Group Members</w:t>
      </w:r>
      <w:r>
        <w:t xml:space="preserve">:</w:t>
      </w:r>
      <w:r>
        <w:t xml:space="preserve"> </w:t>
      </w:r>
      <w:r>
        <w:t xml:space="preserve">- Elias Klåpbakken Drønen</w:t>
      </w:r>
      <w:r>
        <w:t xml:space="preserve"> </w:t>
      </w:r>
      <w:r>
        <w:t xml:space="preserve">- Zana Vlahovic</w:t>
      </w:r>
      <w:r>
        <w:t xml:space="preserve"> </w:t>
      </w:r>
      <w:r>
        <w:t xml:space="preserve">- Carlos Alfredo Carpio Meza</w:t>
      </w:r>
    </w:p>
    <w:p>
      <w:r>
        <w:br w:type="page"/>
      </w:r>
    </w:p>
    <w:bookmarkStart w:id="9" w:name="abstract"/>
    <w:p>
      <w:pPr>
        <w:pStyle w:val="Heading2"/>
      </w:pPr>
      <w:r>
        <w:t xml:space="preserve">Abstract</w:t>
      </w:r>
    </w:p>
    <w:p>
      <w:pPr>
        <w:pStyle w:val="FirstParagraph"/>
      </w:pPr>
      <w:r>
        <w:t xml:space="preserve">Why would a state-owned company cut a fifth of its renewable energy workforce while celebrating $330m in AI-driven savings? Equinor’s approach to artificial intelligence raises questions that go beyond technology-they touch on governance, ethics, and the so-called</w:t>
      </w:r>
      <w:r>
        <w:t xml:space="preserve"> </w:t>
      </w:r>
      <w:r>
        <w:t xml:space="preserve">“twin transition”</w:t>
      </w:r>
      <w:r>
        <w:t xml:space="preserve"> </w:t>
      </w:r>
      <w:r>
        <w:t xml:space="preserve">where digital and green goals are supposed to work together.</w:t>
      </w:r>
    </w:p>
    <w:p>
      <w:pPr>
        <w:pStyle w:val="BodyText"/>
      </w:pPr>
      <w:r>
        <w:t xml:space="preserve">This report examines how Equinor should govern its AI deployment to balance operational efficiency with ethical workforce transition and genuine sustainability commitments. The analysis draws on corporate reports, academic literature, and policy documents. It interprets this data using the Responsible Research and Innovation (RRI) framework proposed by Stilgoe et al. (2013) and the Just Transition guidelines established by the ILO (2016).</w:t>
      </w:r>
    </w:p>
    <w:p>
      <w:pPr>
        <w:pStyle w:val="BodyText"/>
      </w:pPr>
      <w:r>
        <w:t xml:space="preserve">Out of the analysis three dilemmas are put forward: the tension between AI efficiency and workforce displacement, the risk that AI optimization locks in fossil fuel dependence, and the blurring line between operational monitoring and employee surveillance. Geoffrey Hinton warns that</w:t>
      </w:r>
      <w:r>
        <w:t xml:space="preserve"> </w:t>
      </w:r>
      <w:r>
        <w:t xml:space="preserve">“AI-based displacement will pick up speed by 2026”</w:t>
      </w:r>
      <w:r>
        <w:t xml:space="preserve"> </w:t>
      </w:r>
      <w:r>
        <w:t xml:space="preserve">(CNN, 2025), while Elon Musk suggests that</w:t>
      </w:r>
      <w:r>
        <w:t xml:space="preserve"> </w:t>
      </w:r>
      <w:r>
        <w:t xml:space="preserve">“work will be optional”</w:t>
      </w:r>
      <w:r>
        <w:t xml:space="preserve"> </w:t>
      </w:r>
      <w:r>
        <w:t xml:space="preserve">within decades (Fox Business, 2025).</w:t>
      </w:r>
    </w:p>
    <w:p>
      <w:pPr>
        <w:pStyle w:val="BodyText"/>
      </w:pPr>
      <w:r>
        <w:t xml:space="preserve">As a consequence of the findings, this report recommends establishing an AI Ethics Committee, investing in workforce reskilling programs, and aligning AI projects with measurable sustainability criteria. Closing this gap will mean being transparent and having a real stakeholder dialogue.</w:t>
      </w:r>
    </w:p>
    <w:p>
      <w:pPr>
        <w:pStyle w:val="BodyText"/>
      </w:pPr>
      <w:r>
        <w:rPr>
          <w:b/>
          <w:bCs/>
        </w:rPr>
        <w:t xml:space="preserve">Keywords</w:t>
      </w:r>
      <w:r>
        <w:t xml:space="preserve">: AI governance, twin transition, Equinor, Just Transition, Responsible Research and Innovation, workforce displacement, sustainability</w:t>
      </w:r>
    </w:p>
    <w:p>
      <w:r>
        <w:br w:type="page"/>
      </w:r>
    </w:p>
    <w:bookmarkEnd w:id="9"/>
    <w:bookmarkStart w:id="10" w:name="introduction"/>
    <w:p>
      <w:pPr>
        <w:pStyle w:val="Heading2"/>
      </w:pPr>
      <w:r>
        <w:t xml:space="preserve">1. Introduction</w:t>
      </w:r>
    </w:p>
    <w:p>
      <w:pPr>
        <w:pStyle w:val="FirstParagraph"/>
      </w:pPr>
      <w:r>
        <w:t xml:space="preserve">Why would a state-owned company with a net-zero pledge by 2050 cut 250 jobs-a fifth of its renewables team-while celebrating that artificial intelligence has created $330m in value since 2020? This is not a hypothetical. It happened at Equinor in late 2024 (Proctor, 2024).</w:t>
      </w:r>
    </w:p>
    <w:p>
      <w:pPr>
        <w:pStyle w:val="BodyText"/>
      </w:pPr>
      <w:r>
        <w:t xml:space="preserve">The</w:t>
      </w:r>
      <w:r>
        <w:t xml:space="preserve"> </w:t>
      </w:r>
      <w:r>
        <w:t xml:space="preserve">“twin transition”</w:t>
      </w:r>
      <w:r>
        <w:t xml:space="preserve"> </w:t>
      </w:r>
      <w:r>
        <w:t xml:space="preserve">concept suggests that digital and green transformations can reinforce each other (Müller et al., 2024). Companies deploy AI to optimize operations, reduce emissions, and accelerate decarbonization. Yet the same technologies that promise sustainability can also extend the productive life of fossil fuel assets and displace workers faster than new roles emerge. Bachtrögler-Unger et al. (2023) note that technological capabilities for the twin transition are unevenly distributed across European regions, creating winners and losers.</w:t>
      </w:r>
    </w:p>
    <w:p>
      <w:pPr>
        <w:pStyle w:val="BodyText"/>
      </w:pPr>
      <w:r>
        <w:t xml:space="preserve">These are not distant theories. Hinton, often called the</w:t>
      </w:r>
      <w:r>
        <w:t xml:space="preserve"> </w:t>
      </w:r>
      <w:r>
        <w:t xml:space="preserve">“godfather of AI,”</w:t>
      </w:r>
      <w:r>
        <w:t xml:space="preserve"> </w:t>
      </w:r>
      <w:r>
        <w:t xml:space="preserve">told CNN in December 2025 that job losses from artificial intelligence will</w:t>
      </w:r>
      <w:r>
        <w:t xml:space="preserve"> </w:t>
      </w:r>
      <w:r>
        <w:t xml:space="preserve">“pick up speed”</w:t>
      </w:r>
      <w:r>
        <w:t xml:space="preserve"> </w:t>
      </w:r>
      <w:r>
        <w:t xml:space="preserve">and that society is unprepared (CNN, 2025). Musk, despite building AI companies, has stated publicly that he believes work will become</w:t>
      </w:r>
      <w:r>
        <w:t xml:space="preserve"> </w:t>
      </w:r>
      <w:r>
        <w:t xml:space="preserve">“optional”</w:t>
      </w:r>
      <w:r>
        <w:t xml:space="preserve"> </w:t>
      </w:r>
      <w:r>
        <w:t xml:space="preserve">for most people (Fox Business, 2025). The uncertainty is real.</w:t>
      </w:r>
    </w:p>
    <w:p>
      <w:pPr>
        <w:pStyle w:val="BodyText"/>
      </w:pPr>
      <w:r>
        <w:t xml:space="preserve">Despite Equinor’s substantial AI investment, no study has examined how the company governs the tension between efficiency gains and workforce ethics. Rodríguez-Pose and Bartalucci (2024) argue that the green transition risks creating</w:t>
      </w:r>
      <w:r>
        <w:t xml:space="preserve"> </w:t>
      </w:r>
      <w:r>
        <w:t xml:space="preserve">“territorial discontents”</w:t>
      </w:r>
      <w:r>
        <w:t xml:space="preserve">-regions left behind as industries shift. Equinor, as Norway’s largest employer in the energy sector, sits at the center of this debate.</w:t>
      </w:r>
    </w:p>
    <w:p>
      <w:pPr>
        <w:pStyle w:val="BodyText"/>
      </w:pPr>
      <w:r>
        <w:t xml:space="preserve">This report argues that efficiency is favored by Equinor’s current AI strategy, potentially at the expense of immediate workforce stability and authentic sustainability. Effective governance requires integrating RRI principles (Stilgoe et al., 2013) with Just Transition guidelines (ILO, 2016) to ensure that efficiency gains augment rather than merely displace workers. Acemoglu and Restrepo (2019) show that automation historically creates new tasks alongside displacement-the governance challenge is ensuring workers have voice and access to these transitions.</w:t>
      </w:r>
    </w:p>
    <w:p>
      <w:pPr>
        <w:pStyle w:val="BodyText"/>
      </w:pPr>
      <w:r>
        <w:t xml:space="preserve">This report first establishes a theoretical framework, then examines Equinor as a case study, analyzes three ethical dilemmas, and finally proposes governance recommendations.</w:t>
      </w:r>
    </w:p>
    <w:bookmarkEnd w:id="10"/>
    <w:bookmarkStart w:id="11" w:name="method-and-materials"/>
    <w:p>
      <w:pPr>
        <w:pStyle w:val="Heading2"/>
      </w:pPr>
      <w:r>
        <w:t xml:space="preserve">2. Method and Materials</w:t>
      </w:r>
    </w:p>
    <w:p>
      <w:pPr>
        <w:pStyle w:val="FirstParagraph"/>
      </w:pPr>
      <w:r>
        <w:t xml:space="preserve">This study employs a qualitative case study approach, examining Equinor’s AI deployment through publicly available sources. The research design focuses on a single company to enable depth of analysis while acknowledging limitations in generalizability.</w:t>
      </w:r>
    </w:p>
    <w:p>
      <w:pPr>
        <w:pStyle w:val="BodyText"/>
      </w:pPr>
      <w:r>
        <w:t xml:space="preserve">Data sources include Equinor’s official sustainability reports and press releases (2024-2026), industry conference proceedings such as the Fog of AI conference (2025), academic literature on AI ethics and sustainability governance, and policy documents from the International Labour Organization and European Union. Key documents examined include Equinor’s AI strategy papers and recent announcements regarding workforce changes.</w:t>
      </w:r>
    </w:p>
    <w:p>
      <w:pPr>
        <w:pStyle w:val="BodyText"/>
      </w:pPr>
      <w:r>
        <w:t xml:space="preserve">The analytical method involves comparative analysis, measuring Equinor’s stated policies against best-practice frameworks including RRI (Stilgoe et al., 2013) and Just Transition guidelines (ILO, 2016). Thematic analysis identifies ethical dilemmas emerging from the gap between efficiency-focused AI deployment and governance commitments. The EU AI Act (2024) provides an additional regulatory benchmark.</w:t>
      </w:r>
    </w:p>
    <w:p>
      <w:pPr>
        <w:pStyle w:val="BodyText"/>
      </w:pPr>
      <w:r>
        <w:t xml:space="preserve">There are limitations to acknowledge. This analysis focuses on Equinor’s Norwegian operations and AI applications in operational optimization. All data comes from publicly available information; no internal interviews were conducted. The rapidly evolving nature of AI deployment means findings represent a snapshot rather than a complete picture.</w:t>
      </w:r>
    </w:p>
    <w:bookmarkEnd w:id="11"/>
    <w:bookmarkStart w:id="18" w:name="theoretical-framework"/>
    <w:p>
      <w:pPr>
        <w:pStyle w:val="Heading2"/>
      </w:pPr>
      <w:r>
        <w:t xml:space="preserve">3. Theoretical Framework</w:t>
      </w:r>
    </w:p>
    <w:p>
      <w:pPr>
        <w:pStyle w:val="FirstParagraph"/>
      </w:pPr>
      <w:r>
        <w:t xml:space="preserve">What does it mean to govern AI responsibly when digital efficiency and environmental sustainability pull in opposite directions? This section establishes the theoretical toolkit for analyzing Equinor’s dilemmas.</w:t>
      </w:r>
    </w:p>
    <w:bookmarkStart w:id="12" w:name="key-concepts"/>
    <w:p>
      <w:pPr>
        <w:pStyle w:val="Heading3"/>
      </w:pPr>
      <w:r>
        <w:t xml:space="preserve">3.1 Key Concepts</w:t>
      </w:r>
    </w:p>
    <w:p>
      <w:pPr>
        <w:pStyle w:val="FirstParagraph"/>
      </w:pPr>
      <w:r>
        <w:t xml:space="preserve">The</w:t>
      </w:r>
      <w:r>
        <w:t xml:space="preserve"> </w:t>
      </w:r>
      <w:r>
        <w:rPr>
          <w:b/>
          <w:bCs/>
        </w:rPr>
        <w:t xml:space="preserve">twin transition</w:t>
      </w:r>
      <w:r>
        <w:t xml:space="preserve"> </w:t>
      </w:r>
      <w:r>
        <w:t xml:space="preserve">refers to the simultaneous pursuit of digitalization and decarbonization (Müller et al., 2024). In theory, these goals reinforce each other: AI optimizes energy use, reducing emissions. In practice, they can collide-AI that makes oil extraction cheaper extends fossil fuel profitability.</w:t>
      </w:r>
      <w:r>
        <w:t xml:space="preserve"> </w:t>
      </w:r>
      <w:r>
        <w:rPr>
          <w:b/>
          <w:bCs/>
        </w:rPr>
        <w:t xml:space="preserve">AI governance</w:t>
      </w:r>
      <w:r>
        <w:t xml:space="preserve"> </w:t>
      </w:r>
      <w:r>
        <w:t xml:space="preserve">encompasses the policies, structures, and oversight mechanisms shaping how organizations deploy artificial intelligence.</w:t>
      </w:r>
      <w:r>
        <w:t xml:space="preserve"> </w:t>
      </w:r>
      <w:r>
        <w:rPr>
          <w:b/>
          <w:bCs/>
        </w:rPr>
        <w:t xml:space="preserve">Displacement</w:t>
      </w:r>
      <w:r>
        <w:t xml:space="preserve"> </w:t>
      </w:r>
      <w:r>
        <w:t xml:space="preserve">refers to job losses from automation, while</w:t>
      </w:r>
      <w:r>
        <w:t xml:space="preserve"> </w:t>
      </w:r>
      <w:r>
        <w:rPr>
          <w:b/>
          <w:bCs/>
        </w:rPr>
        <w:t xml:space="preserve">Just Transition</w:t>
      </w:r>
      <w:r>
        <w:t xml:space="preserve"> </w:t>
      </w:r>
      <w:r>
        <w:t xml:space="preserve">describes the principle that decarbonization should not leave workers behind.</w:t>
      </w:r>
    </w:p>
    <w:bookmarkEnd w:id="12"/>
    <w:bookmarkStart w:id="13" w:name="relevant-theories"/>
    <w:p>
      <w:pPr>
        <w:pStyle w:val="Heading3"/>
      </w:pPr>
      <w:r>
        <w:t xml:space="preserve">3.2 Relevant Theories</w:t>
      </w:r>
    </w:p>
    <w:p>
      <w:pPr>
        <w:pStyle w:val="FirstParagraph"/>
      </w:pPr>
      <w:r>
        <w:rPr>
          <w:b/>
          <w:bCs/>
        </w:rPr>
        <w:t xml:space="preserve">Twin Transition Framework</w:t>
      </w:r>
      <w:r>
        <w:t xml:space="preserve">: Müller et al. (2024) demonstrate hidden links between green and digital transitions, showing they can be</w:t>
      </w:r>
      <w:r>
        <w:t xml:space="preserve"> </w:t>
      </w:r>
      <w:r>
        <w:t xml:space="preserve">“put to work together”</w:t>
      </w:r>
      <w:r>
        <w:t xml:space="preserve"> </w:t>
      </w:r>
      <w:r>
        <w:t xml:space="preserve">but also conflict. Abbasiharofteh and Kriesch (2024) warn that</w:t>
      </w:r>
      <w:r>
        <w:t xml:space="preserve"> </w:t>
      </w:r>
      <w:r>
        <w:t xml:space="preserve">“not all twins are identical”</w:t>
      </w:r>
      <w:r>
        <w:t xml:space="preserve">-the relationship between digital and green varies by context. Fazio et al. (2025) map how European regions differ in their capacity to manage both transitions simultaneously. For Equinor, this means asking whether AI savings flow toward renewable investment or extend fossil operations.</w:t>
      </w:r>
    </w:p>
    <w:p>
      <w:pPr>
        <w:pStyle w:val="BodyText"/>
      </w:pPr>
      <w:r>
        <w:rPr>
          <w:b/>
          <w:bCs/>
        </w:rPr>
        <w:t xml:space="preserve">Responsible Research and Innovation (RRI)</w:t>
      </w:r>
      <w:r>
        <w:t xml:space="preserve">: Stilgoe et al. (2013) propose four dimensions. Anticipation involves looking ahead to future consequences. Reflexivity requires questioning underlying assumptions. Inclusion means actively involving stakeholders in the process. Responsiveness entails acting on feedback to adjust the course. These dimensions provide a governance checklist. Is Equinor anticipating workforce impacts? Are employees included in AI decisions?</w:t>
      </w:r>
    </w:p>
    <w:p>
      <w:pPr>
        <w:pStyle w:val="BodyText"/>
      </w:pPr>
      <w:r>
        <w:rPr>
          <w:b/>
          <w:bCs/>
        </w:rPr>
        <w:t xml:space="preserve">Just Transition</w:t>
      </w:r>
      <w:r>
        <w:t xml:space="preserve">: The ILO (2016) guidelines establish that decarbonization must protect affected workers through reskilling, social dialogue, and transition support. Acemoglu and Restrepo (2019) add nuance: automation displaces tasks but also creates new ones. The question is not whether jobs change, but whether workers can access emerging roles in data analysis, AI oversight, and human-machine collaboration.</w:t>
      </w:r>
    </w:p>
    <w:bookmarkEnd w:id="13"/>
    <w:bookmarkStart w:id="14" w:name="X22b422173581d9574435d6b4097161042f0c46b"/>
    <w:p>
      <w:pPr>
        <w:pStyle w:val="Heading3"/>
      </w:pPr>
      <w:r>
        <w:t xml:space="preserve">3.3 Course Concepts: Power, Lock-ins, and Uneven Effects</w:t>
      </w:r>
    </w:p>
    <w:p>
      <w:pPr>
        <w:pStyle w:val="FirstParagraph"/>
      </w:pPr>
      <w:r>
        <w:t xml:space="preserve">Beyond these frameworks, several course concepts from INN503 illuminate Equinor’s situation.</w:t>
      </w:r>
    </w:p>
    <w:p>
      <w:pPr>
        <w:pStyle w:val="BodyText"/>
      </w:pPr>
      <w:r>
        <w:rPr>
          <w:b/>
          <w:bCs/>
        </w:rPr>
        <w:t xml:space="preserve">Socio-Technical Systems</w:t>
      </w:r>
      <w:r>
        <w:t xml:space="preserve">: Geels (2002) developed the Multi-Level Perspective to explain how transitions happen. The MLP distinguishes three levels. Niches are spaces where new technologies emerge and get tested. Regimes are the dominant systems with established rules and routines. Landscapes are the broader economic and cultural contexts shaping everything else. Equinor’s AI deployment operates at the regime level. It is embedded in daily routines, creating dependencies on legacy systems and specific vendors. Why does this matter? Because digital technologies are modular, scalable, and rapidly diffused. They gain system-shaping power often without democratic oversight.</w:t>
      </w:r>
    </w:p>
    <w:p>
      <w:pPr>
        <w:pStyle w:val="BodyText"/>
      </w:pPr>
      <w:r>
        <w:rPr>
          <w:b/>
          <w:bCs/>
        </w:rPr>
        <w:t xml:space="preserve">Lock-ins and Path Dependence</w:t>
      </w:r>
      <w:r>
        <w:t xml:space="preserve">: Once AI systems are embedded in operations, switching costs rise. Equinor faces three types of lock-in. First, technological lock-in through proprietary platforms like Omnia. Second, skill lock-in because workers develop specialized competencies tied to specific systems. Third, fossil lock-in where AI optimizes carbon-intensive assets, making them profitable longer than they would otherwise be. These lock-ins constrain governance options. Some paths become progressively harder to exit.</w:t>
      </w:r>
    </w:p>
    <w:p>
      <w:pPr>
        <w:pStyle w:val="BodyText"/>
      </w:pPr>
      <w:r>
        <w:rPr>
          <w:b/>
          <w:bCs/>
        </w:rPr>
        <w:t xml:space="preserve">Platform Power and Algorithmic Management</w:t>
      </w:r>
      <w:r>
        <w:t xml:space="preserve">: Equinor’s Omnia platform concentrates control over data, algorithms, and operational decisions. Platform power shows up in three ways. Management controls what information workers can see. Algorithms dispatch tasks and monitor performance. Data ownership shapes bargaining positions between the company and its employees. The 24,000 sensors collecting operational data raise questions about where equipment monitoring ends and workforce surveillance begins.</w:t>
      </w:r>
    </w:p>
    <w:p>
      <w:pPr>
        <w:pStyle w:val="BodyText"/>
      </w:pPr>
      <w:r>
        <w:rPr>
          <w:b/>
          <w:bCs/>
        </w:rPr>
        <w:t xml:space="preserve">Data Governance</w:t>
      </w:r>
      <w:r>
        <w:t xml:space="preserve">: Who owns the data generated by AI systems? How is it used in employment decisions? These questions have no simple answers. Data governance challenges include privacy protection, algorithmic transparency, and the power asymmetries that emerge when management controls both data and the algorithms interpreting it.</w:t>
      </w:r>
    </w:p>
    <w:p>
      <w:pPr>
        <w:pStyle w:val="BodyText"/>
      </w:pPr>
      <w:r>
        <w:rPr>
          <w:b/>
          <w:bCs/>
        </w:rPr>
        <w:t xml:space="preserve">Uneven Effects</w:t>
      </w:r>
      <w:r>
        <w:t xml:space="preserve">: The twin transition creates winners and losers. Rørheim and Boschma (2022) show that oil-dependent regions like Norway’s west coast have developed specialized skills over decades. These same workers face displacement risk if AI substitutes rather than complements their expertise. The effects are not evenly distributed across regions or worker categories.</w:t>
      </w:r>
    </w:p>
    <w:bookmarkEnd w:id="14"/>
    <w:bookmarkStart w:id="15" w:name="relationships-between-theories"/>
    <w:p>
      <w:pPr>
        <w:pStyle w:val="Heading3"/>
      </w:pPr>
      <w:r>
        <w:t xml:space="preserve">3.4 Relationships Between Theories</w:t>
      </w:r>
    </w:p>
    <w:p>
      <w:pPr>
        <w:pStyle w:val="FirstParagraph"/>
      </w:pPr>
      <w:r>
        <w:t xml:space="preserve">These frameworks connect systematically. The twin transition framework reveals tensions between digital and green goals. RRI provides governance principles-anticipation, reflexivity, inclusion, responsiveness-to manage those tensions. Just Transition ensures that governance protects workers during the shift. Course concepts about lock-ins, platform power, and algorithmic management explain why governance is difficult: once digital systems are embedded, changing course requires overcoming entrenched interests and switching costs. Together, they form a toolkit: identify the tension, understand the power dynamics, apply governance principles, protect affected stakeholders.</w:t>
      </w:r>
    </w:p>
    <w:bookmarkEnd w:id="15"/>
    <w:bookmarkStart w:id="16" w:name="assumptions"/>
    <w:p>
      <w:pPr>
        <w:pStyle w:val="Heading3"/>
      </w:pPr>
      <w:r>
        <w:t xml:space="preserve">3.5 Assumptions</w:t>
      </w:r>
    </w:p>
    <w:p>
      <w:pPr>
        <w:pStyle w:val="FirstParagraph"/>
      </w:pPr>
      <w:r>
        <w:t xml:space="preserve">This analysis assumes that AI deployment represents a governance choice, not a technical inevitability. Efficiency gains can be distributed fairly or unfairly depending on policy decisions. Workers have legitimate interests in decisions affecting their employment. Digital and green goals can conflict, and pretending otherwise obscures real trade-offs.</w:t>
      </w:r>
    </w:p>
    <w:bookmarkEnd w:id="16"/>
    <w:bookmarkStart w:id="17" w:name="integration-with-this-study"/>
    <w:p>
      <w:pPr>
        <w:pStyle w:val="Heading3"/>
      </w:pPr>
      <w:r>
        <w:t xml:space="preserve">3.6 Integration with This Study</w:t>
      </w:r>
    </w:p>
    <w:p>
      <w:pPr>
        <w:pStyle w:val="FirstParagraph"/>
      </w:pPr>
      <w:r>
        <w:t xml:space="preserve">Applied to Equinor, these frameworks illuminate a company that has gained worth from AI-$330m since 2020-while cutting a fifth of its renewables workforce. The frameworks predict three dilemmas: efficiency versus workforce (Just Transition), fossil lock-in versus genuine decarbonization (twin transition), and monitoring versus surveillance (RRI inclusion). The following case study documents the evidence.</w:t>
      </w:r>
    </w:p>
    <w:bookmarkEnd w:id="17"/>
    <w:bookmarkEnd w:id="18"/>
    <w:bookmarkStart w:id="25" w:name="case-study-equinor"/>
    <w:p>
      <w:pPr>
        <w:pStyle w:val="Heading2"/>
      </w:pPr>
      <w:r>
        <w:t xml:space="preserve">4. Case Study: Equinor</w:t>
      </w:r>
    </w:p>
    <w:bookmarkStart w:id="19" w:name="company-overview"/>
    <w:p>
      <w:pPr>
        <w:pStyle w:val="Heading3"/>
      </w:pPr>
      <w:r>
        <w:t xml:space="preserve">4.1 Company Overview</w:t>
      </w:r>
    </w:p>
    <w:p>
      <w:pPr>
        <w:pStyle w:val="FirstParagraph"/>
      </w:pPr>
      <w:r>
        <w:t xml:space="preserve">Equinor is Norway’s largest energy company, with the Norwegian state holding 67% ownership. The company operates oil and gas fields, offshore wind projects, and solar installations across multiple continents. As a state-majority-owned enterprise, Equinor carries expectations beyond profit-it represents Norwegian industrial strategy and faces scrutiny on climate commitments.</w:t>
      </w:r>
    </w:p>
    <w:bookmarkEnd w:id="19"/>
    <w:bookmarkStart w:id="20" w:name="twin-transition-at-equinor"/>
    <w:p>
      <w:pPr>
        <w:pStyle w:val="Heading3"/>
      </w:pPr>
      <w:r>
        <w:t xml:space="preserve">4.2 Twin Transition at Equinor</w:t>
      </w:r>
    </w:p>
    <w:p>
      <w:pPr>
        <w:pStyle w:val="FirstParagraph"/>
      </w:pPr>
      <w:r>
        <w:t xml:space="preserve">Equinor has pledged net-zero emissions by 2050, framing its strategy as</w:t>
      </w:r>
      <w:r>
        <w:t xml:space="preserve"> </w:t>
      </w:r>
      <w:r>
        <w:t xml:space="preserve">“dual transformation”</w:t>
      </w:r>
      <w:r>
        <w:t xml:space="preserve">: optimizing oil and gas operations while accelerating renewable investment. This creates an inherent tension. The company explicitly states that it will continue extracting fossil fuels while transitioning-a position that critics argue enables delay rather than genuine decarbonization.</w:t>
      </w:r>
    </w:p>
    <w:bookmarkEnd w:id="20"/>
    <w:bookmarkStart w:id="21" w:name="ai-initiatives-and-digitalization"/>
    <w:p>
      <w:pPr>
        <w:pStyle w:val="Heading3"/>
      </w:pPr>
      <w:r>
        <w:t xml:space="preserve">4.3 AI Initiatives and Digitalization</w:t>
      </w:r>
    </w:p>
    <w:p>
      <w:pPr>
        <w:pStyle w:val="FirstParagraph"/>
      </w:pPr>
      <w:r>
        <w:t xml:space="preserve">The numbers are striking. Equinor reports that AI applications have generated $330m in value since 2020, with $130m coming in 2025 alone (Equinor, 2026). The company has identified over 100 AI use-cases across its operations.</w:t>
      </w:r>
    </w:p>
    <w:p>
      <w:pPr>
        <w:pStyle w:val="BodyText"/>
      </w:pPr>
      <w:r>
        <w:t xml:space="preserve">Predictive maintenance through the Omnia Prevent platform monitors more than 700 rotating machines, saving an estimated $120m by catching equipment failures before they occur. There is network of sensors in which 24,000 data points live, feeding real-time information to AI systems that optimize drilling, seismic analysis, and well planning. Rørheim and Boschma (2022) note that oil-dependent regions like Norway’s west coast have developed specialized skills in these technologies.</w:t>
      </w:r>
    </w:p>
    <w:bookmarkEnd w:id="21"/>
    <w:bookmarkStart w:id="22" w:name="workforce-and-organizational-efforts"/>
    <w:p>
      <w:pPr>
        <w:pStyle w:val="Heading3"/>
      </w:pPr>
      <w:r>
        <w:t xml:space="preserve">4.4 Workforce and Organizational Efforts</w:t>
      </w:r>
    </w:p>
    <w:p>
      <w:pPr>
        <w:pStyle w:val="FirstParagraph"/>
      </w:pPr>
      <w:r>
        <w:t xml:space="preserve">Equinor has invested in training programs aimed at digital transition, partnering with Harvard Business Publishing to develop what they call a</w:t>
      </w:r>
      <w:r>
        <w:t xml:space="preserve"> </w:t>
      </w:r>
      <w:r>
        <w:t xml:space="preserve">“future-focused mindset”</w:t>
      </w:r>
      <w:r>
        <w:t xml:space="preserve"> </w:t>
      </w:r>
      <w:r>
        <w:t xml:space="preserve">among leaders (Harvard Business Publishing, 2024). The company promotes internal mobility and reskilling initiatives.</w:t>
      </w:r>
    </w:p>
    <w:p>
      <w:pPr>
        <w:pStyle w:val="BodyText"/>
      </w:pPr>
      <w:r>
        <w:t xml:space="preserve">Yet the contradictions are visible. In late 2024, Equinor announced cuts to 250 positions in its renewables division-a fifth of that workforce (Proctor, 2024). The AI-driven efficiency gains in oil and gas did not translate to renewable energy investment sufficient to protect those jobs.</w:t>
      </w:r>
    </w:p>
    <w:bookmarkEnd w:id="22"/>
    <w:bookmarkStart w:id="23" w:name="current-governance-measures"/>
    <w:p>
      <w:pPr>
        <w:pStyle w:val="Heading3"/>
      </w:pPr>
      <w:r>
        <w:t xml:space="preserve">4.5 Current Governance Measures</w:t>
      </w:r>
    </w:p>
    <w:p>
      <w:pPr>
        <w:pStyle w:val="FirstParagraph"/>
      </w:pPr>
      <w:r>
        <w:t xml:space="preserve">Equinor publishes sustainability reports and climate targets, participating in industry disclosure initiatives. The company references ethical guidelines in public communications. However, specific AI ethics policies remain unclear from public documents. The governance structure for AI decisions-who decides, who is consulted, how impacts are assessed-is not transparently documented.</w:t>
      </w:r>
    </w:p>
    <w:bookmarkEnd w:id="23"/>
    <w:bookmarkStart w:id="24" w:name="tensions-observed"/>
    <w:p>
      <w:pPr>
        <w:pStyle w:val="Heading3"/>
      </w:pPr>
      <w:r>
        <w:t xml:space="preserve">4.6 Tensions Observed</w:t>
      </w:r>
    </w:p>
    <w:p>
      <w:pPr>
        <w:pStyle w:val="FirstParagraph"/>
      </w:pPr>
      <w:r>
        <w:t xml:space="preserve">Three tensions emerge from this case. First, AI optimization of fossil production generates savings but potentially conflicts with climate goals-lowering extraction costs keeps oil profitable longer. Second, the renewables workforce cuts occurred despite AI success, suggesting efficiency gains do not automatically flow toward green employment. Third, the extensive sensor network raises questions about employee monitoring that go beyond equipment optimization. These tensions lead directly to the ethical analysis.</w:t>
      </w:r>
    </w:p>
    <w:bookmarkEnd w:id="24"/>
    <w:bookmarkEnd w:id="25"/>
    <w:bookmarkStart w:id="29" w:name="ethical-analysis"/>
    <w:p>
      <w:pPr>
        <w:pStyle w:val="Heading2"/>
      </w:pPr>
      <w:r>
        <w:t xml:space="preserve">5. Ethical Analysis</w:t>
      </w:r>
    </w:p>
    <w:p>
      <w:pPr>
        <w:pStyle w:val="FirstParagraph"/>
      </w:pPr>
      <w:r>
        <w:t xml:space="preserve">How should a company balance $330m in AI savings with 250 job losses? This section analyzes three dilemmas emerging from Equinor’s deployment of artificial intelligence.</w:t>
      </w:r>
    </w:p>
    <w:bookmarkStart w:id="26" w:name="Xc0cfee4c9442923ca2acc40eaaae3651ec8050e"/>
    <w:p>
      <w:pPr>
        <w:pStyle w:val="Heading3"/>
      </w:pPr>
      <w:r>
        <w:t xml:space="preserve">5.1 Dilemma 1: Ethical AI Use and Transparency</w:t>
      </w:r>
    </w:p>
    <w:p>
      <w:pPr>
        <w:pStyle w:val="FirstParagraph"/>
      </w:pPr>
      <w:r>
        <w:t xml:space="preserve">The first dilemma concerns responsible use of AI systems themselves. When algorithms make decisions about equipment, drilling, or resource allocation, questions of bias, security, and transparency arise. Cirillo et al. (2024) document how digital technologies reshape labor market flows-workers interact with systems they may not fully understand.</w:t>
      </w:r>
    </w:p>
    <w:p>
      <w:pPr>
        <w:pStyle w:val="BodyText"/>
      </w:pPr>
      <w:r>
        <w:t xml:space="preserve">“Automation bias”</w:t>
      </w:r>
      <w:r>
        <w:t xml:space="preserve"> </w:t>
      </w:r>
      <w:r>
        <w:t xml:space="preserve">presents a particular risk in safety-critical industries like offshore oil and gas. If operators defer excessively to AI recommendations, the technology becomes a vulnerability rather than a tool. Data governance and privacy concerns extend to the 24,000 sensors collecting operational information-where does equipment monitoring end and employee surveillance begin?</w:t>
      </w:r>
    </w:p>
    <w:p>
      <w:pPr>
        <w:pStyle w:val="BodyText"/>
      </w:pPr>
      <w:r>
        <w:t xml:space="preserve">Applying RRI principles, Equinor should demonstrate anticipation by foreseeing how AI decisions affect workers before systems are deployed. Reflexivity requires the company to question the algorithmic assumptions driving efficiency. Inclusion means actively involving employees in system design, not just training them on finished tools. Finally, responsiveness entails adjusting these systems when problems or ethical concerns emerge. Stilgoe et al. (2013) argue these dimensions distinguish responsible innovation from mere technological deployment.</w:t>
      </w:r>
    </w:p>
    <w:p>
      <w:pPr>
        <w:pStyle w:val="BodyText"/>
      </w:pPr>
      <w:r>
        <w:t xml:space="preserve">The balanced view matters here. Acemoglu and Restrepo (2019) show that automation historically creates new tasks: AI governance roles, data analysis positions, human-machine collaboration specialists. The challenge is ensuring these opportunities reach current workers rather than becoming entirely new hiring categories. Hinton’s warning that displacement will</w:t>
      </w:r>
      <w:r>
        <w:t xml:space="preserve"> </w:t>
      </w:r>
      <w:r>
        <w:t xml:space="preserve">“pick up speed”</w:t>
      </w:r>
      <w:r>
        <w:t xml:space="preserve"> </w:t>
      </w:r>
      <w:r>
        <w:t xml:space="preserve">(CNN, 2025) and Musk’s prediction of</w:t>
      </w:r>
      <w:r>
        <w:t xml:space="preserve"> </w:t>
      </w:r>
      <w:r>
        <w:t xml:space="preserve">“optional”</w:t>
      </w:r>
      <w:r>
        <w:t xml:space="preserve"> </w:t>
      </w:r>
      <w:r>
        <w:t xml:space="preserve">work (Fox Business, 2025) add urgency-the window for proactive governance may be narrowing.</w:t>
      </w:r>
    </w:p>
    <w:bookmarkEnd w:id="26"/>
    <w:bookmarkStart w:id="27" w:name="X0e8a59bf04b31636741ca8d5980247a321370a6"/>
    <w:p>
      <w:pPr>
        <w:pStyle w:val="Heading3"/>
      </w:pPr>
      <w:r>
        <w:t xml:space="preserve">5.2 Dilemma 2: Workforce Reskilling and Impact</w:t>
      </w:r>
    </w:p>
    <w:p>
      <w:pPr>
        <w:pStyle w:val="FirstParagraph"/>
      </w:pPr>
      <w:r>
        <w:t xml:space="preserve">The second dilemma involves balancing AI efficiency with employee wellbeing. Guarascio et al. (2024) ask directly: will robots replace workers? Their meta-analysis finds mixed evidence-some displacement, some complementarity, depending on policy choices.</w:t>
      </w:r>
    </w:p>
    <w:p>
      <w:pPr>
        <w:pStyle w:val="BodyText"/>
      </w:pPr>
      <w:r>
        <w:t xml:space="preserve">Equinor’s situation illustrates the stakes. The company celebrates AI savings while cutting renewables positions. Guarascio et al. (2025) show that AI exposure and employment diverge across European regions, creating geographic concentrations of vulnerability. Bücker et al. (2025) document employment dynamics in rapid decarbonization, finding that transition speed matters-slow shifts allow adaptation, fast shifts strand workers.</w:t>
      </w:r>
    </w:p>
    <w:p>
      <w:pPr>
        <w:pStyle w:val="BodyText"/>
      </w:pPr>
      <w:r>
        <w:t xml:space="preserve">Just Transition principles from the ILO (2016) provide a framework: affected workers deserve advance notice, reskilling opportunities, social dialogue, and transition support.</w:t>
      </w:r>
      <w:r>
        <w:t xml:space="preserve"> </w:t>
      </w:r>
      <w:r>
        <w:t xml:space="preserve">“AI will not replace experts but empower them”</w:t>
      </w:r>
      <w:r>
        <w:t xml:space="preserve"> </w:t>
      </w:r>
      <w:r>
        <w:t xml:space="preserve">is a common corporate phrase-but empowerment requires access to training and new role creation rather than assuming current competencies automatically transfer.</w:t>
      </w:r>
    </w:p>
    <w:p>
      <w:pPr>
        <w:pStyle w:val="BodyText"/>
      </w:pPr>
      <w:r>
        <w:t xml:space="preserve">Zaussinger et al. (2025) emphasize skills-based approaches to labor market exposure, showing that workers with complementary skills benefit from AI while those with substitutable skills face displacement. The governance question is whether Equinor invests sufficiently in developing complementary skills among its workforce or relies on external hiring for new AI-adjacent roles.</w:t>
      </w:r>
    </w:p>
    <w:bookmarkEnd w:id="27"/>
    <w:bookmarkStart w:id="28" w:name="Xaa5a282613b416fca663e63ee0431428880404e"/>
    <w:p>
      <w:pPr>
        <w:pStyle w:val="Heading3"/>
      </w:pPr>
      <w:r>
        <w:t xml:space="preserve">5.3 Dilemma 3: Authentic Sustainability Commitments</w:t>
      </w:r>
    </w:p>
    <w:p>
      <w:pPr>
        <w:pStyle w:val="FirstParagraph"/>
      </w:pPr>
      <w:r>
        <w:t xml:space="preserve">The third dilemma concerns whether AI-driven efficiency represents genuine decarbonization or extends fossil fuel profitability. Rodríguez-Pose and Bartalucci (2024) warn of</w:t>
      </w:r>
      <w:r>
        <w:t xml:space="preserve"> </w:t>
      </w:r>
      <w:r>
        <w:t xml:space="preserve">“territorial discontents”</w:t>
      </w:r>
      <w:r>
        <w:t xml:space="preserve"> </w:t>
      </w:r>
      <w:r>
        <w:t xml:space="preserve">from green transitions that create regional losers-but what about transitions that look green while remaining fundamentally extractive?</w:t>
      </w:r>
    </w:p>
    <w:p>
      <w:pPr>
        <w:pStyle w:val="BodyText"/>
      </w:pPr>
      <w:r>
        <w:t xml:space="preserve">The risk is fossil lock-in. When AI lowers the cost of oil production, it extends the economic viability of reserves that might otherwise become stranded assets. Müller et al. (2024) identify this as a hidden link in the twin transition: digital efficiency serving fossil interests rather than accelerating renewable substitution. Bianchini et al. (2023) document how environmental effects of the twin transition vary-some configurations reduce emissions, others do not.</w:t>
      </w:r>
    </w:p>
    <w:p>
      <w:pPr>
        <w:pStyle w:val="BodyText"/>
      </w:pPr>
      <w:r>
        <w:t xml:space="preserve">Investors increasingly question corporate climate claims. Does Equinor’s $330m AI value represent genuine sustainability progress or sophisticated optimization of a carbon-intensive business model? Greenwashing concerns arise when efficiency metrics substitute for actual emission reductions.</w:t>
      </w:r>
    </w:p>
    <w:p>
      <w:pPr>
        <w:pStyle w:val="BodyText"/>
      </w:pPr>
      <w:r>
        <w:t xml:space="preserve">The governance response requires tying AI investments to measurable sustainability outcomes-not just cost savings but verified emission reductions, renewable capacity additions, and transition timeline acceleration.</w:t>
      </w:r>
    </w:p>
    <w:bookmarkEnd w:id="28"/>
    <w:bookmarkEnd w:id="29"/>
    <w:bookmarkStart w:id="33" w:name="policy-and-governance-options"/>
    <w:p>
      <w:pPr>
        <w:pStyle w:val="Heading2"/>
      </w:pPr>
      <w:r>
        <w:t xml:space="preserve">6. Policy and Governance Options</w:t>
      </w:r>
    </w:p>
    <w:p>
      <w:pPr>
        <w:pStyle w:val="FirstParagraph"/>
      </w:pPr>
      <w:r>
        <w:t xml:space="preserve">Based on the analysis, three governance improvements are proposed. Each option includes explicit trade-offs and implementation timelines.</w:t>
      </w:r>
    </w:p>
    <w:bookmarkStart w:id="30" w:name="Xc65d992951ad23b1afafb2d166b8055ebd2098b"/>
    <w:p>
      <w:pPr>
        <w:pStyle w:val="Heading3"/>
      </w:pPr>
      <w:r>
        <w:t xml:space="preserve">6.1 Establish an AI Ethics and Governance Framework (Highest Priority)</w:t>
      </w:r>
    </w:p>
    <w:p>
      <w:pPr>
        <w:pStyle w:val="FirstParagraph"/>
      </w:pPr>
      <w:r>
        <w:t xml:space="preserve">Equinor should create a dedicated AI Ethics Committee with cross-functional representation: digital technology, operations, ethics and compliance, and worker representatives. This committee would conduct routine AI audits examining bias, safety implications, and workforce impacts.</w:t>
      </w:r>
    </w:p>
    <w:p>
      <w:pPr>
        <w:pStyle w:val="BodyText"/>
      </w:pPr>
      <w:r>
        <w:t xml:space="preserve">Following Stilgoe et al. (2013), the framework should operationalize all four RRI dimensions. Anticipation means assessing workforce impacts before deployment, not after. Reflexivity requires questioning whether efficiency metrics capture what matters. Inclusion demands meaningful employee participation in AI decisions. Responsiveness involves mechanisms to adjust when harms become visible.</w:t>
      </w:r>
    </w:p>
    <w:p>
      <w:pPr>
        <w:pStyle w:val="BodyText"/>
      </w:pPr>
      <w:r>
        <w:t xml:space="preserve">The EU AI Act (2024) provides regulatory impetus-high-risk AI systems in workplace contexts face compliance requirements. Proactive governance positions Equinor ahead of regulatory enforcement.</w:t>
      </w:r>
    </w:p>
    <w:p>
      <w:pPr>
        <w:pStyle w:val="BodyText"/>
      </w:pPr>
      <w:r>
        <w:rPr>
          <w:b/>
          <w:bCs/>
        </w:rPr>
        <w:t xml:space="preserve">Trade-offs</w:t>
      </w:r>
      <w:r>
        <w:t xml:space="preserve">: Governance structures add costs and slow decision-making. An AI Ethics Committee requires dedicated resources and may delay profitable AI deployments. The trade-off is between speed-to-value and responsible deployment. However, avoiding this investment risks regulatory penalties, reputational damage, and workforce distrust.</w:t>
      </w:r>
    </w:p>
    <w:p>
      <w:pPr>
        <w:pStyle w:val="BodyText"/>
      </w:pPr>
      <w:r>
        <w:rPr>
          <w:b/>
          <w:bCs/>
        </w:rPr>
        <w:t xml:space="preserve">Timeline</w:t>
      </w:r>
      <w:r>
        <w:t xml:space="preserve">: Short-term (3-6 months) for committee establishment and initial audits. Long-term (12-24 months) for full integration into project approval processes.</w:t>
      </w:r>
    </w:p>
    <w:bookmarkEnd w:id="30"/>
    <w:bookmarkStart w:id="31" w:name="X6a1e6a6657b3ed900f637fa584a26f6e53bf186"/>
    <w:p>
      <w:pPr>
        <w:pStyle w:val="Heading3"/>
      </w:pPr>
      <w:r>
        <w:t xml:space="preserve">6.2 Invest in Workforce Reskilling (High Priority)</w:t>
      </w:r>
    </w:p>
    <w:p>
      <w:pPr>
        <w:pStyle w:val="FirstParagraph"/>
      </w:pPr>
      <w:r>
        <w:t xml:space="preserve">Equinor should conduct a comprehensive skills gap assessment, identifying which current competencies complement AI systems and which risk substitution. Training programs-both internal and through external partnerships-should explicitly prepare workers for emerging roles: data stewards, AI system supervisors, human-machine collaboration leads.</w:t>
      </w:r>
    </w:p>
    <w:p>
      <w:pPr>
        <w:pStyle w:val="BodyText"/>
      </w:pPr>
      <w:r>
        <w:t xml:space="preserve">Following ILO (2016) guidelines, a change management plan should include transparent communication about AI impacts, social dialogue with worker representatives, and transition support for affected employees. Acemoglu and Restrepo (2019) provide the theoretical basis: automation creates new tasks, but workers need pathways to access them.</w:t>
      </w:r>
    </w:p>
    <w:p>
      <w:pPr>
        <w:pStyle w:val="BodyText"/>
      </w:pPr>
      <w:r>
        <w:rPr>
          <w:b/>
          <w:bCs/>
        </w:rPr>
        <w:t xml:space="preserve">Trade-offs</w:t>
      </w:r>
      <w:r>
        <w:t xml:space="preserve">: Reskilling requires upfront investment with uncertain returns. Not all workers will successfully transition-some skills gaps may prove too large. The trade-off is between investing in current employees versus hiring externally for new competencies. External hiring is faster but destroys institutional knowledge and signals distrust to remaining workers.</w:t>
      </w:r>
    </w:p>
    <w:p>
      <w:pPr>
        <w:pStyle w:val="BodyText"/>
      </w:pPr>
      <w:r>
        <w:rPr>
          <w:b/>
          <w:bCs/>
        </w:rPr>
        <w:t xml:space="preserve">Timeline</w:t>
      </w:r>
      <w:r>
        <w:t xml:space="preserve">: Short-term (0-6 months) for skills assessment and communication plan. Medium-term (6-18 months) for training program rollout. Long-term (ongoing) for continuous learning infrastructure.</w:t>
      </w:r>
    </w:p>
    <w:p>
      <w:pPr>
        <w:pStyle w:val="BodyText"/>
      </w:pPr>
      <w:r>
        <w:rPr>
          <w:b/>
          <w:bCs/>
        </w:rPr>
        <w:t xml:space="preserve">Metrics</w:t>
      </w:r>
      <w:r>
        <w:t xml:space="preserve">: Track employees retrained, internal mobility rates for AI-adjacent positions, and time-to-placement for workers whose roles change.</w:t>
      </w:r>
    </w:p>
    <w:bookmarkEnd w:id="31"/>
    <w:bookmarkStart w:id="32" w:name="Xdd9853568423a3b5a791b3f430bc0c7eaa6a1ea"/>
    <w:p>
      <w:pPr>
        <w:pStyle w:val="Heading3"/>
      </w:pPr>
      <w:r>
        <w:t xml:space="preserve">6.3 Align AI with Sustainability Outcomes (Medium Priority)</w:t>
      </w:r>
    </w:p>
    <w:p>
      <w:pPr>
        <w:pStyle w:val="FirstParagraph"/>
      </w:pPr>
      <w:r>
        <w:t xml:space="preserve">Equinor should establish explicit sustainability criteria for AI projects. Does the optimization reduce absolute emissions or merely lower per-barrel costs? Internal carbon pricing can clarify these trade-offs-if AI savings flow to extended fossil production, internal carbon costs make the true impact visible.</w:t>
      </w:r>
    </w:p>
    <w:p>
      <w:pPr>
        <w:pStyle w:val="BodyText"/>
      </w:pPr>
      <w:r>
        <w:t xml:space="preserve">Santoalha and Boschma (2021) show that green technology diversification requires intentional policy support. Equinor should publish CO2 reduction metrics specifically attributable to AI applications, enabling external verification. Joint review between sustainability teams and digital technology groups would ensure AI deployment serves climate goals rather than undermining them.</w:t>
      </w:r>
    </w:p>
    <w:p>
      <w:pPr>
        <w:pStyle w:val="BodyText"/>
      </w:pPr>
      <w:r>
        <w:rPr>
          <w:b/>
          <w:bCs/>
        </w:rPr>
        <w:t xml:space="preserve">Trade-offs</w:t>
      </w:r>
      <w:r>
        <w:t xml:space="preserve">: Tying AI to sustainability metrics may exclude profitable optimization projects that extend fossil operations. The trade-off is between short-term value capture and long-term decarbonization credibility. Investors increasingly discount companies perceived as greenwashing-authentic sustainability may prove more valuable than maximizing near-term fossil extraction.</w:t>
      </w:r>
    </w:p>
    <w:p>
      <w:pPr>
        <w:pStyle w:val="BodyText"/>
      </w:pPr>
      <w:r>
        <w:rPr>
          <w:b/>
          <w:bCs/>
        </w:rPr>
        <w:t xml:space="preserve">Timeline</w:t>
      </w:r>
      <w:r>
        <w:t xml:space="preserve">: Short-term (0-6 months) for internal carbon pricing framework. Medium-term (6-12 months) for sustainability criteria integration into AI project approval. Long-term (ongoing) for public reporting and third-party verification.</w:t>
      </w:r>
    </w:p>
    <w:bookmarkEnd w:id="32"/>
    <w:bookmarkEnd w:id="33"/>
    <w:bookmarkStart w:id="34" w:name="conclusion"/>
    <w:p>
      <w:pPr>
        <w:pStyle w:val="Heading2"/>
      </w:pPr>
      <w:r>
        <w:t xml:space="preserve">7. Conclusion</w:t>
      </w:r>
    </w:p>
    <w:p>
      <w:pPr>
        <w:pStyle w:val="FirstParagraph"/>
      </w:pPr>
      <w:r>
        <w:t xml:space="preserve">Equinor presents a case where AI governance matters intensely. The company has generated $330m in value from artificial intelligence since 2020. It has also cut a fifth of its renewables workforce. These facts coexist, and governance determines which trajectory dominates.</w:t>
      </w:r>
    </w:p>
    <w:p>
      <w:pPr>
        <w:pStyle w:val="BodyText"/>
      </w:pPr>
      <w:r>
        <w:t xml:space="preserve">Three dilemmas structure the challenge. First, AI systems require oversight mechanisms ensuring transparency, avoiding automation bias, and including workers in decisions. Second, workforce reskilling cannot be optional-the ILO’s Just Transition principles demand that efficiency gains translate to worker protection, not displacement. Third, authentic sustainability means tying AI investments to emission reductions, not merely cost optimization that extends fossil profitability.</w:t>
      </w:r>
    </w:p>
    <w:p>
      <w:pPr>
        <w:pStyle w:val="BodyText"/>
      </w:pPr>
      <w:r>
        <w:t xml:space="preserve">The implications extend beyond Equinor. Energy companies across the sector face similar tensions. The twin transition is neither automatic nor harmonious-digital and green goals can collide, and governance choices determine outcomes. Following RRI principles while implementing Just Transition guidelines offers a pathway, but requires commitment beyond public relations.</w:t>
      </w:r>
    </w:p>
    <w:p>
      <w:pPr>
        <w:pStyle w:val="BodyText"/>
      </w:pPr>
      <w:r>
        <w:t xml:space="preserve">For policymakers, the lesson is that AI governance cannot be delegated entirely to companies. Regulatory frameworks like the EU AI Act provide floors, but enforcement matters. For other energy firms, Equinor’s dilemmas preview their own-the specific numbers differ, but the tensions between efficiency, workforce ethics, and genuine sustainability are structural.</w:t>
      </w:r>
    </w:p>
    <w:p>
      <w:pPr>
        <w:pStyle w:val="BodyText"/>
      </w:pPr>
      <w:r>
        <w:t xml:space="preserve">In summary, Equinor should govern AI by establishing ethics oversight, investing in worker reskilling, and aligning AI investments with verified sustainability outcomes. The alternative-celebrating efficiency while cutting workers and extending fossil operations-risks both social legitimacy and the climate goals the company claims to pursue.</w:t>
      </w:r>
    </w:p>
    <w:p>
      <w:r>
        <w:br w:type="page"/>
      </w:r>
    </w:p>
    <w:bookmarkEnd w:id="34"/>
    <w:bookmarkStart w:id="39" w:name="references"/>
    <w:p>
      <w:pPr>
        <w:pStyle w:val="Heading2"/>
      </w:pPr>
      <w:r>
        <w:t xml:space="preserve">References</w:t>
      </w:r>
    </w:p>
    <w:bookmarkStart w:id="35" w:name="academic-papers"/>
    <w:p>
      <w:pPr>
        <w:pStyle w:val="Heading3"/>
      </w:pPr>
      <w:r>
        <w:t xml:space="preserve">Academic Papers</w:t>
      </w:r>
    </w:p>
    <w:p>
      <w:pPr>
        <w:pStyle w:val="FirstParagraph"/>
      </w:pPr>
      <w:r>
        <w:t xml:space="preserve">Aaldering, L. J., &amp; Song, C. H. (2021). Of leaders and laggards-Towards digitalization of the process industries.</w:t>
      </w:r>
      <w:r>
        <w:t xml:space="preserve"> </w:t>
      </w:r>
      <w:r>
        <w:rPr>
          <w:i/>
          <w:iCs/>
        </w:rPr>
        <w:t xml:space="preserve">Technovation</w:t>
      </w:r>
      <w:r>
        <w:t xml:space="preserve">, 105, 102211. https://doi.org/10.1016/j.technovation.2021.102211</w:t>
      </w:r>
    </w:p>
    <w:p>
      <w:pPr>
        <w:pStyle w:val="BodyText"/>
      </w:pPr>
      <w:r>
        <w:t xml:space="preserve">Abbasiharofteh, M., &amp; Kriesch, L. (2024). Not all twins are identical: The digital layer of</w:t>
      </w:r>
      <w:r>
        <w:t xml:space="preserve"> </w:t>
      </w:r>
      <w:r>
        <w:t xml:space="preserve">“twin”</w:t>
      </w:r>
      <w:r>
        <w:t xml:space="preserve"> </w:t>
      </w:r>
      <w:r>
        <w:t xml:space="preserve">transition market applications.</w:t>
      </w:r>
      <w:r>
        <w:t xml:space="preserve"> </w:t>
      </w:r>
      <w:r>
        <w:rPr>
          <w:i/>
          <w:iCs/>
        </w:rPr>
        <w:t xml:space="preserve">Papers in Innovation Studies</w:t>
      </w:r>
      <w:r>
        <w:t xml:space="preserve">, (2024/16). https://ideas.repec.org/p/hhs/lucirc/2024_016.html</w:t>
      </w:r>
    </w:p>
    <w:p>
      <w:pPr>
        <w:pStyle w:val="BodyText"/>
      </w:pPr>
      <w:r>
        <w:t xml:space="preserve">Acemoglu, D., &amp; Restrepo, P. (2019). Automation and new tasks: How technology displaces and reinstates labor.</w:t>
      </w:r>
      <w:r>
        <w:t xml:space="preserve"> </w:t>
      </w:r>
      <w:r>
        <w:rPr>
          <w:i/>
          <w:iCs/>
        </w:rPr>
        <w:t xml:space="preserve">Journal of Economic Perspectives</w:t>
      </w:r>
      <w:r>
        <w:t xml:space="preserve">, 33(2), 3-30. https://doi.org/10.1257/jep.33.2.3</w:t>
      </w:r>
    </w:p>
    <w:p>
      <w:pPr>
        <w:pStyle w:val="BodyText"/>
      </w:pPr>
      <w:r>
        <w:t xml:space="preserve">Bachtrögler-Unger, J., Balland, P. A., Boschma, R., &amp; Schwab, T. (2023). Technological capabilities and the twin transition in Europe: Opportunities for regional collaboration and economic cohesion.</w:t>
      </w:r>
      <w:r>
        <w:t xml:space="preserve"> </w:t>
      </w:r>
      <w:r>
        <w:rPr>
          <w:i/>
          <w:iCs/>
        </w:rPr>
        <w:t xml:space="preserve">Regional Studies</w:t>
      </w:r>
      <w:r>
        <w:t xml:space="preserve">. https://doi.org/10.1080/00343404.2023.2254761</w:t>
      </w:r>
    </w:p>
    <w:p>
      <w:pPr>
        <w:pStyle w:val="BodyText"/>
      </w:pPr>
      <w:r>
        <w:t xml:space="preserve">Bianchini, S., Damioli, G., &amp; Ghisetti, C. (2023). The environmental effects of the</w:t>
      </w:r>
      <w:r>
        <w:t xml:space="preserve"> </w:t>
      </w:r>
      <w:r>
        <w:t xml:space="preserve">“twin”</w:t>
      </w:r>
      <w:r>
        <w:t xml:space="preserve"> </w:t>
      </w:r>
      <w:r>
        <w:t xml:space="preserve">green and digital transition in European regions.</w:t>
      </w:r>
      <w:r>
        <w:t xml:space="preserve"> </w:t>
      </w:r>
      <w:r>
        <w:rPr>
          <w:i/>
          <w:iCs/>
        </w:rPr>
        <w:t xml:space="preserve">Environmental and Resource Economics</w:t>
      </w:r>
      <w:r>
        <w:t xml:space="preserve">, 84(4), 877-918. https://doi.org/10.1007/s10640-022-00741-9</w:t>
      </w:r>
    </w:p>
    <w:p>
      <w:pPr>
        <w:pStyle w:val="BodyText"/>
      </w:pPr>
      <w:r>
        <w:t xml:space="preserve">Bücker, J., del Rio-Chanona, R. M., Pichler, A., Ives, M. C., &amp; Farmer, J. D. (2025). Employment dynamics in a rapid decarbonization of the US power sector.</w:t>
      </w:r>
      <w:r>
        <w:t xml:space="preserve"> </w:t>
      </w:r>
      <w:r>
        <w:rPr>
          <w:i/>
          <w:iCs/>
        </w:rPr>
        <w:t xml:space="preserve">Joule</w:t>
      </w:r>
      <w:r>
        <w:t xml:space="preserve">, 9(2). https://doi.org/10.1016/j.joule.2024.12.007</w:t>
      </w:r>
    </w:p>
    <w:p>
      <w:pPr>
        <w:pStyle w:val="BodyText"/>
      </w:pPr>
      <w:r>
        <w:t xml:space="preserve">Capello, R., &amp; Lenzi, C. (2023). The rise of the digital service economy in European regions.</w:t>
      </w:r>
      <w:r>
        <w:t xml:space="preserve"> </w:t>
      </w:r>
      <w:r>
        <w:rPr>
          <w:i/>
          <w:iCs/>
        </w:rPr>
        <w:t xml:space="preserve">Industry and Innovation</w:t>
      </w:r>
      <w:r>
        <w:t xml:space="preserve">, 30(6), 637-663. https://doi.org/10.1080/13662716.2022.2133808</w:t>
      </w:r>
    </w:p>
    <w:p>
      <w:pPr>
        <w:pStyle w:val="BodyText"/>
      </w:pPr>
      <w:r>
        <w:t xml:space="preserve">Cirillo, V., Mina, A., &amp; Ricci, A. (2024). Digital technologies, labor market flows and training: Evidence from Italian employer-employee data.</w:t>
      </w:r>
      <w:r>
        <w:t xml:space="preserve"> </w:t>
      </w:r>
      <w:r>
        <w:rPr>
          <w:i/>
          <w:iCs/>
        </w:rPr>
        <w:t xml:space="preserve">Technological Forecasting and Social Change</w:t>
      </w:r>
      <w:r>
        <w:t xml:space="preserve">, 209, 123735. https://doi.org/10.1016/j.techfore.2024.123735</w:t>
      </w:r>
    </w:p>
    <w:p>
      <w:pPr>
        <w:pStyle w:val="BodyText"/>
      </w:pPr>
      <w:r>
        <w:t xml:space="preserve">Fazio, G., Maioli, S., &amp; Rujimora, N. (2025). The twin innovation transitions of European regions.</w:t>
      </w:r>
      <w:r>
        <w:t xml:space="preserve"> </w:t>
      </w:r>
      <w:r>
        <w:rPr>
          <w:i/>
          <w:iCs/>
        </w:rPr>
        <w:t xml:space="preserve">Regional Studies</w:t>
      </w:r>
      <w:r>
        <w:t xml:space="preserve">, 59(1), 2309176. https://doi.org/10.1080/00343404.2024.2309176</w:t>
      </w:r>
    </w:p>
    <w:p>
      <w:pPr>
        <w:pStyle w:val="BodyText"/>
      </w:pPr>
      <w:r>
        <w:t xml:space="preserve">Guarascio, D., Piccirillo, A., &amp; Reljic, J. (2024). Will robots replace workers? Assessing the impact of robots on employment and wages with meta-analysis (GLO Discussion Paper No. 1395). Global Labor Organization. https://www.econstor.eu/handle/10419/283685</w:t>
      </w:r>
    </w:p>
    <w:p>
      <w:pPr>
        <w:pStyle w:val="BodyText"/>
      </w:pPr>
      <w:r>
        <w:t xml:space="preserve">Guarascio, D., Reljic, J., &amp; Stöllinger, R. (2025). Diverging paths: AI exposure and employment across European regions.</w:t>
      </w:r>
      <w:r>
        <w:t xml:space="preserve"> </w:t>
      </w:r>
      <w:r>
        <w:rPr>
          <w:i/>
          <w:iCs/>
        </w:rPr>
        <w:t xml:space="preserve">Structural Change and Economic Dynamics</w:t>
      </w:r>
      <w:r>
        <w:t xml:space="preserve">, 73, 11-24. https://doi.org/10.1016/j.strueco.2024.100085</w:t>
      </w:r>
    </w:p>
    <w:p>
      <w:pPr>
        <w:pStyle w:val="BodyText"/>
      </w:pPr>
      <w:r>
        <w:t xml:space="preserve">Müller, M., Lang, S., &amp; Stöber, L. F. (2024). Twin transition-Hidden links between the green and digital transition.</w:t>
      </w:r>
      <w:r>
        <w:t xml:space="preserve"> </w:t>
      </w:r>
      <w:r>
        <w:rPr>
          <w:i/>
          <w:iCs/>
        </w:rPr>
        <w:t xml:space="preserve">Journal of Innovation Economics &amp; Management</w:t>
      </w:r>
      <w:r>
        <w:t xml:space="preserve">, 45(3), 57-94. https://www.cairn.info/revue-journal-of-innovation-economics-2024-3-page-57.htm</w:t>
      </w:r>
    </w:p>
    <w:p>
      <w:pPr>
        <w:pStyle w:val="BodyText"/>
      </w:pPr>
      <w:r>
        <w:t xml:space="preserve">Rodríguez-Pose, A., &amp; Bartalucci, F. (2024). The green transition and its potential territorial discontents.</w:t>
      </w:r>
      <w:r>
        <w:t xml:space="preserve"> </w:t>
      </w:r>
      <w:r>
        <w:rPr>
          <w:i/>
          <w:iCs/>
        </w:rPr>
        <w:t xml:space="preserve">Cambridge Journal of Regions, Economy and Society</w:t>
      </w:r>
      <w:r>
        <w:t xml:space="preserve">, 17(2), 339-358. https://doi.org/10.1093/cjres/rsae008</w:t>
      </w:r>
    </w:p>
    <w:p>
      <w:pPr>
        <w:pStyle w:val="BodyText"/>
      </w:pPr>
      <w:r>
        <w:t xml:space="preserve">Rørheim, J. E., &amp; Boschma, R. (2022). Skill-relatedness and employment growth of firms in times of prosperity and crisis in an oil-dependent region.</w:t>
      </w:r>
      <w:r>
        <w:t xml:space="preserve"> </w:t>
      </w:r>
      <w:r>
        <w:rPr>
          <w:i/>
          <w:iCs/>
        </w:rPr>
        <w:t xml:space="preserve">Environment and Planning A: Economy and Space</w:t>
      </w:r>
      <w:r>
        <w:t xml:space="preserve">, 54(4), 676-692. https://doi.org/10.1177/0308518X211066761</w:t>
      </w:r>
    </w:p>
    <w:p>
      <w:pPr>
        <w:pStyle w:val="BodyText"/>
      </w:pPr>
      <w:r>
        <w:t xml:space="preserve">Santoalha, A., &amp; Boschma, R. (2021). Diversifying in green technologies in European regions: Does political support matter?</w:t>
      </w:r>
      <w:r>
        <w:t xml:space="preserve"> </w:t>
      </w:r>
      <w:r>
        <w:rPr>
          <w:i/>
          <w:iCs/>
        </w:rPr>
        <w:t xml:space="preserve">Regional Studies</w:t>
      </w:r>
      <w:r>
        <w:t xml:space="preserve">, 55(2), 182-195. https://doi.org/10.1080/00343404.2020.1744122</w:t>
      </w:r>
    </w:p>
    <w:p>
      <w:pPr>
        <w:pStyle w:val="BodyText"/>
      </w:pPr>
      <w:r>
        <w:t xml:space="preserve">Zaussinger, F., Schmidt, T. S., &amp; Egli, F. (2025). Skills-based and regionally explicit labor market exposure to the low-carbon transition in Europe.</w:t>
      </w:r>
      <w:r>
        <w:t xml:space="preserve"> </w:t>
      </w:r>
      <w:r>
        <w:rPr>
          <w:i/>
          <w:iCs/>
        </w:rPr>
        <w:t xml:space="preserve">Joule</w:t>
      </w:r>
      <w:r>
        <w:t xml:space="preserve">, 9(2). https://doi.org/10.1016/j.joule.2024.12.008</w:t>
      </w:r>
    </w:p>
    <w:bookmarkEnd w:id="35"/>
    <w:bookmarkStart w:id="36" w:name="frameworks-and-policy-documents"/>
    <w:p>
      <w:pPr>
        <w:pStyle w:val="Heading3"/>
      </w:pPr>
      <w:r>
        <w:t xml:space="preserve">Frameworks and Policy Documents</w:t>
      </w:r>
    </w:p>
    <w:p>
      <w:pPr>
        <w:pStyle w:val="FirstParagraph"/>
      </w:pPr>
      <w:r>
        <w:t xml:space="preserve">International Labour Organization. (2016).</w:t>
      </w:r>
      <w:r>
        <w:t xml:space="preserve"> </w:t>
      </w:r>
      <w:r>
        <w:rPr>
          <w:i/>
          <w:iCs/>
        </w:rPr>
        <w:t xml:space="preserve">Guidelines for a just transition towards environmentally sustainable economies and societies for all</w:t>
      </w:r>
      <w:r>
        <w:t xml:space="preserve">. ILO. https://www.ilo.org/wcmsp5/groups/public/</w:t>
      </w:r>
      <w:r>
        <w:t xml:space="preserve">@ed_emp</w:t>
      </w:r>
      <w:r>
        <w:t xml:space="preserve">/</w:t>
      </w:r>
      <w:r>
        <w:t xml:space="preserve">@emp_ent/documents/publication/wcms_432859.pdf</w:t>
      </w:r>
    </w:p>
    <w:p>
      <w:pPr>
        <w:pStyle w:val="BodyText"/>
      </w:pPr>
      <w:r>
        <w:t xml:space="preserve">Stilgoe, J., Owen, R., &amp; Macnaghten, P. (2013). Developing a framework for responsible innovation.</w:t>
      </w:r>
      <w:r>
        <w:t xml:space="preserve"> </w:t>
      </w:r>
      <w:r>
        <w:rPr>
          <w:i/>
          <w:iCs/>
        </w:rPr>
        <w:t xml:space="preserve">Research Policy</w:t>
      </w:r>
      <w:r>
        <w:t xml:space="preserve">, 42(9), 1568-1580. https://doi.org/10.1016/j.respol.2013.05.008</w:t>
      </w:r>
    </w:p>
    <w:p>
      <w:pPr>
        <w:pStyle w:val="BodyText"/>
      </w:pPr>
      <w:r>
        <w:t xml:space="preserve">European Union. (2024).</w:t>
      </w:r>
      <w:r>
        <w:t xml:space="preserve"> </w:t>
      </w:r>
      <w:r>
        <w:rPr>
          <w:i/>
          <w:iCs/>
        </w:rPr>
        <w:t xml:space="preserve">Regulation (EU) 2024/1689 laying down harmonised rules on artificial intelligence (AI Act)</w:t>
      </w:r>
      <w:r>
        <w:t xml:space="preserve">. Official Journal of the European Union. https://eur-lex.europa.eu/legal-content/EN/TXT/?uri=CELEX:32024R1689</w:t>
      </w:r>
    </w:p>
    <w:bookmarkEnd w:id="36"/>
    <w:bookmarkStart w:id="37" w:name="industry-and-corporate-sources"/>
    <w:p>
      <w:pPr>
        <w:pStyle w:val="Heading3"/>
      </w:pPr>
      <w:r>
        <w:t xml:space="preserve">Industry and Corporate Sources</w:t>
      </w:r>
    </w:p>
    <w:p>
      <w:pPr>
        <w:pStyle w:val="FirstParagraph"/>
      </w:pPr>
      <w:r>
        <w:t xml:space="preserve">Equinor. (2026, January 7). Use of artificial intelligence saved Equinor USD 130 million in 2025. https://www.equinor.com/news/20260107-artificial-intelligence-saved-equinor-usd-130-million</w:t>
      </w:r>
    </w:p>
    <w:p>
      <w:pPr>
        <w:pStyle w:val="BodyText"/>
      </w:pPr>
      <w:r>
        <w:t xml:space="preserve">Harvard Business Publishing. (2024). Energizing leaders in dual transformation at Equinor. https://www.harvardbusiness.org/client-story/energizing-leaders-in-dual-transformation-at-equinor/</w:t>
      </w:r>
    </w:p>
    <w:p>
      <w:pPr>
        <w:pStyle w:val="BodyText"/>
      </w:pPr>
      <w:r>
        <w:t xml:space="preserve">Proctor, D. (2024, November 21). Norway’s Equinor cuts 20% of renewable energy staff.</w:t>
      </w:r>
      <w:r>
        <w:t xml:space="preserve"> </w:t>
      </w:r>
      <w:r>
        <w:rPr>
          <w:i/>
          <w:iCs/>
        </w:rPr>
        <w:t xml:space="preserve">POWER Magazine</w:t>
      </w:r>
      <w:r>
        <w:t xml:space="preserve">. https://www.powermag.com/norways-equinor-cuts-20-of-renewable-energy-staff/</w:t>
      </w:r>
    </w:p>
    <w:bookmarkEnd w:id="37"/>
    <w:bookmarkStart w:id="38" w:name="news-and-tech-leader-sources"/>
    <w:p>
      <w:pPr>
        <w:pStyle w:val="Heading3"/>
      </w:pPr>
      <w:r>
        <w:t xml:space="preserve">News and Tech Leader Sources</w:t>
      </w:r>
    </w:p>
    <w:p>
      <w:pPr>
        <w:pStyle w:val="FirstParagraph"/>
      </w:pPr>
      <w:r>
        <w:t xml:space="preserve">Cable News Network. (2025, December 28). State of the Union: Interview with Geoffrey Hinton [Transcript]. CNN Transcripts. https://transcripts.cnn.com/show/sotu/date/2025-12-28/segment/01</w:t>
      </w:r>
    </w:p>
    <w:p>
      <w:pPr>
        <w:pStyle w:val="BodyText"/>
      </w:pPr>
      <w:r>
        <w:t xml:space="preserve">Revell, E. (2025, November 19). Elon Musk predicts work will be</w:t>
      </w:r>
      <w:r>
        <w:t xml:space="preserve"> </w:t>
      </w:r>
      <w:r>
        <w:t xml:space="preserve">“optional”</w:t>
      </w:r>
      <w:r>
        <w:t xml:space="preserve"> </w:t>
      </w:r>
      <w:r>
        <w:t xml:space="preserve">in coming decades.</w:t>
      </w:r>
      <w:r>
        <w:t xml:space="preserve"> </w:t>
      </w:r>
      <w:r>
        <w:rPr>
          <w:i/>
          <w:iCs/>
        </w:rPr>
        <w:t xml:space="preserve">Fox Business</w:t>
      </w:r>
      <w:r>
        <w:t xml:space="preserve">. https://www.foxbusiness.com/economy/elon-musk-predicts-work-optional-coming-decades</w:t>
      </w:r>
    </w:p>
    <w:bookmarkEnd w:id="38"/>
    <w:bookmarkEnd w:id="39"/>
    <w:bookmarkEnd w:id="4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2026-01-19T16:00:14Z</dcterms:created>
  <dcterms:modified xsi:type="dcterms:W3CDTF">2026-01-19T16:00:14Z</dcterms:modified>
</cp:coreProperties>
</file>

<file path=docProps/custom.xml><?xml version="1.0" encoding="utf-8"?>
<Properties xmlns="http://schemas.openxmlformats.org/officeDocument/2006/custom-properties" xmlns:vt="http://schemas.openxmlformats.org/officeDocument/2006/docPropsVTypes"/>
</file>